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A2B50" w14:textId="77777777" w:rsidR="005A557B" w:rsidRPr="005A557B" w:rsidRDefault="005A557B" w:rsidP="005A557B">
      <w:r w:rsidRPr="005A557B">
        <w:rPr>
          <w:b/>
          <w:bCs/>
        </w:rPr>
        <w:t>バックモニター等取付業務仕様書（案）</w:t>
      </w:r>
    </w:p>
    <w:p w14:paraId="210C718F" w14:textId="77777777" w:rsidR="005A557B" w:rsidRPr="005A557B" w:rsidRDefault="005A557B" w:rsidP="005A557B">
      <w:r w:rsidRPr="005A557B">
        <w:rPr>
          <w:b/>
          <w:bCs/>
        </w:rPr>
        <w:t xml:space="preserve">1. </w:t>
      </w:r>
      <w:r w:rsidRPr="005A557B">
        <w:rPr>
          <w:b/>
          <w:bCs/>
        </w:rPr>
        <w:t>業務名</w:t>
      </w:r>
    </w:p>
    <w:p w14:paraId="756D3816" w14:textId="77777777" w:rsidR="005A557B" w:rsidRPr="005A557B" w:rsidRDefault="005A557B" w:rsidP="005A557B">
      <w:r w:rsidRPr="005A557B">
        <w:t>公用車バックモニター取付業務</w:t>
      </w:r>
    </w:p>
    <w:p w14:paraId="7A0DAC95" w14:textId="77777777" w:rsidR="005A557B" w:rsidRPr="005A557B" w:rsidRDefault="005A557B" w:rsidP="005A557B">
      <w:r w:rsidRPr="005A557B">
        <w:rPr>
          <w:b/>
          <w:bCs/>
        </w:rPr>
        <w:t xml:space="preserve">2. </w:t>
      </w:r>
      <w:r w:rsidRPr="005A557B">
        <w:rPr>
          <w:b/>
          <w:bCs/>
        </w:rPr>
        <w:t>概要</w:t>
      </w:r>
    </w:p>
    <w:p w14:paraId="79A2D56C" w14:textId="77777777" w:rsidR="005A557B" w:rsidRPr="005A557B" w:rsidRDefault="005A557B" w:rsidP="005A557B">
      <w:r w:rsidRPr="005A557B">
        <w:t>本業務は、京都市環境政策局が保有する車両に対し、指定するバックモニター及びバックカメラの調達および取付工事を行うものである。</w:t>
      </w:r>
    </w:p>
    <w:p w14:paraId="76E295D4" w14:textId="77777777" w:rsidR="005A557B" w:rsidRPr="005A557B" w:rsidRDefault="005A557B" w:rsidP="005A557B">
      <w:r w:rsidRPr="005A557B">
        <w:rPr>
          <w:b/>
          <w:bCs/>
        </w:rPr>
        <w:t xml:space="preserve">3. </w:t>
      </w:r>
      <w:r w:rsidRPr="005A557B">
        <w:rPr>
          <w:b/>
          <w:bCs/>
        </w:rPr>
        <w:t>納期</w:t>
      </w:r>
    </w:p>
    <w:p w14:paraId="6D9AE11F" w14:textId="5B2F1672" w:rsidR="005A557B" w:rsidRPr="005A557B" w:rsidRDefault="005A557B" w:rsidP="005A557B">
      <w:r w:rsidRPr="005A557B">
        <w:t>令和</w:t>
      </w:r>
      <w:r w:rsidRPr="005A557B">
        <w:t>8</w:t>
      </w:r>
      <w:r w:rsidRPr="005A557B">
        <w:t>年</w:t>
      </w:r>
      <w:r w:rsidR="00730AB3">
        <w:rPr>
          <w:rFonts w:hint="eastAsia"/>
        </w:rPr>
        <w:t>８</w:t>
      </w:r>
      <w:r w:rsidRPr="005A557B">
        <w:t>月</w:t>
      </w:r>
      <w:r w:rsidR="00992B92">
        <w:rPr>
          <w:rFonts w:hint="eastAsia"/>
        </w:rPr>
        <w:t>３</w:t>
      </w:r>
      <w:r w:rsidR="00730AB3">
        <w:rPr>
          <w:rFonts w:hint="eastAsia"/>
        </w:rPr>
        <w:t>１</w:t>
      </w:r>
      <w:r w:rsidRPr="005A557B">
        <w:t>日（</w:t>
      </w:r>
      <w:r w:rsidR="00730AB3">
        <w:rPr>
          <w:rFonts w:hint="eastAsia"/>
        </w:rPr>
        <w:t>月</w:t>
      </w:r>
      <w:r w:rsidRPr="005A557B">
        <w:t>）まで</w:t>
      </w:r>
    </w:p>
    <w:p w14:paraId="69BB4CE2" w14:textId="77777777" w:rsidR="005A557B" w:rsidRPr="005A557B" w:rsidRDefault="005A557B" w:rsidP="005A557B">
      <w:r w:rsidRPr="005A557B">
        <w:rPr>
          <w:b/>
          <w:bCs/>
        </w:rPr>
        <w:t xml:space="preserve">4. </w:t>
      </w:r>
      <w:r w:rsidRPr="005A557B">
        <w:rPr>
          <w:b/>
          <w:bCs/>
        </w:rPr>
        <w:t>対象車両一覧</w:t>
      </w:r>
    </w:p>
    <w:p w14:paraId="51816639" w14:textId="38EF9E13" w:rsidR="005A557B" w:rsidRPr="005A557B" w:rsidRDefault="005A557B" w:rsidP="005A557B">
      <w:r w:rsidRPr="005A557B">
        <w:t>本業務の対象となる車両は、以下の計</w:t>
      </w:r>
      <w:r w:rsidR="00EB7B00">
        <w:rPr>
          <w:rFonts w:hint="eastAsia"/>
        </w:rPr>
        <w:t>4</w:t>
      </w:r>
      <w:r w:rsidRPr="005A557B">
        <w:t>台とする。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9"/>
        <w:gridCol w:w="1134"/>
        <w:gridCol w:w="850"/>
      </w:tblGrid>
      <w:tr w:rsidR="005A557B" w:rsidRPr="005A557B" w14:paraId="7A47D62D" w14:textId="77777777" w:rsidTr="005A557B">
        <w:trPr>
          <w:tblHeade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14:paraId="40444F6B" w14:textId="77777777" w:rsidR="005A557B" w:rsidRPr="005A557B" w:rsidRDefault="005A557B" w:rsidP="005A557B">
            <w:r w:rsidRPr="005A557B">
              <w:rPr>
                <w:b/>
                <w:bCs/>
              </w:rPr>
              <w:t>車種・形状</w:t>
            </w:r>
          </w:p>
        </w:tc>
        <w:tc>
          <w:tcPr>
            <w:tcW w:w="1104" w:type="dxa"/>
            <w:tcBorders>
              <w:top w:val="single" w:sz="6" w:space="0" w:color="auto"/>
              <w:left w:val="single" w:sz="6" w:space="0" w:color="auto"/>
              <w:bottom w:val="single" w:sz="6" w:space="0" w:color="auto"/>
              <w:right w:val="single" w:sz="6" w:space="0" w:color="auto"/>
            </w:tcBorders>
            <w:vAlign w:val="center"/>
            <w:hideMark/>
          </w:tcPr>
          <w:p w14:paraId="17A798DC" w14:textId="77777777" w:rsidR="005A557B" w:rsidRPr="005A557B" w:rsidRDefault="005A557B" w:rsidP="005A557B">
            <w:r w:rsidRPr="005A557B">
              <w:rPr>
                <w:b/>
                <w:bCs/>
              </w:rPr>
              <w:t>台数</w:t>
            </w:r>
          </w:p>
        </w:tc>
        <w:tc>
          <w:tcPr>
            <w:tcW w:w="805" w:type="dxa"/>
            <w:tcBorders>
              <w:top w:val="single" w:sz="6" w:space="0" w:color="auto"/>
              <w:left w:val="single" w:sz="6" w:space="0" w:color="auto"/>
              <w:bottom w:val="single" w:sz="6" w:space="0" w:color="auto"/>
              <w:right w:val="single" w:sz="6" w:space="0" w:color="auto"/>
            </w:tcBorders>
            <w:vAlign w:val="center"/>
            <w:hideMark/>
          </w:tcPr>
          <w:p w14:paraId="139FF35C" w14:textId="77777777" w:rsidR="005A557B" w:rsidRPr="005A557B" w:rsidRDefault="005A557B" w:rsidP="005A557B">
            <w:r w:rsidRPr="005A557B">
              <w:rPr>
                <w:b/>
                <w:bCs/>
              </w:rPr>
              <w:t>備考</w:t>
            </w:r>
          </w:p>
        </w:tc>
      </w:tr>
      <w:tr w:rsidR="005A557B" w:rsidRPr="005A557B" w14:paraId="5A0D9E83" w14:textId="77777777" w:rsidTr="005A557B">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14:paraId="158517EF" w14:textId="79297F08" w:rsidR="005A557B" w:rsidRPr="005A557B" w:rsidRDefault="005527B5" w:rsidP="005A557B">
            <w:r>
              <w:rPr>
                <w:rFonts w:hint="eastAsia"/>
              </w:rPr>
              <w:t>４ｔダンプ車</w:t>
            </w:r>
          </w:p>
        </w:tc>
        <w:tc>
          <w:tcPr>
            <w:tcW w:w="1104" w:type="dxa"/>
            <w:tcBorders>
              <w:top w:val="single" w:sz="6" w:space="0" w:color="auto"/>
              <w:left w:val="single" w:sz="6" w:space="0" w:color="auto"/>
              <w:bottom w:val="single" w:sz="6" w:space="0" w:color="auto"/>
              <w:right w:val="single" w:sz="6" w:space="0" w:color="auto"/>
            </w:tcBorders>
            <w:vAlign w:val="center"/>
            <w:hideMark/>
          </w:tcPr>
          <w:p w14:paraId="2DF3F04F" w14:textId="3EDE6581" w:rsidR="005A557B" w:rsidRPr="005A557B" w:rsidRDefault="005527B5" w:rsidP="005A557B">
            <w:r>
              <w:rPr>
                <w:rFonts w:hint="eastAsia"/>
              </w:rPr>
              <w:t>１</w:t>
            </w:r>
            <w:r w:rsidR="005A557B" w:rsidRPr="005A557B">
              <w:t>台</w:t>
            </w:r>
          </w:p>
        </w:tc>
        <w:tc>
          <w:tcPr>
            <w:tcW w:w="805" w:type="dxa"/>
            <w:tcBorders>
              <w:top w:val="single" w:sz="6" w:space="0" w:color="auto"/>
              <w:left w:val="single" w:sz="6" w:space="0" w:color="auto"/>
              <w:bottom w:val="single" w:sz="6" w:space="0" w:color="auto"/>
              <w:right w:val="single" w:sz="6" w:space="0" w:color="auto"/>
            </w:tcBorders>
            <w:vAlign w:val="center"/>
            <w:hideMark/>
          </w:tcPr>
          <w:p w14:paraId="0256E14B" w14:textId="77777777" w:rsidR="005A557B" w:rsidRPr="005A557B" w:rsidRDefault="005A557B" w:rsidP="005A557B"/>
        </w:tc>
      </w:tr>
      <w:tr w:rsidR="005A557B" w:rsidRPr="005A557B" w14:paraId="5FC4C584" w14:textId="77777777" w:rsidTr="005A557B">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14:paraId="6C04A753" w14:textId="03B8E3E7" w:rsidR="005A557B" w:rsidRPr="005A557B" w:rsidRDefault="005527B5" w:rsidP="005A557B">
            <w:r>
              <w:rPr>
                <w:rFonts w:hint="eastAsia"/>
              </w:rPr>
              <w:t>８</w:t>
            </w:r>
            <w:r w:rsidR="005A557B" w:rsidRPr="005A557B">
              <w:t>t</w:t>
            </w:r>
            <w:r w:rsidR="005A557B" w:rsidRPr="005A557B">
              <w:t>ダンプ車</w:t>
            </w:r>
          </w:p>
        </w:tc>
        <w:tc>
          <w:tcPr>
            <w:tcW w:w="1104" w:type="dxa"/>
            <w:tcBorders>
              <w:top w:val="single" w:sz="6" w:space="0" w:color="auto"/>
              <w:left w:val="single" w:sz="6" w:space="0" w:color="auto"/>
              <w:bottom w:val="single" w:sz="6" w:space="0" w:color="auto"/>
              <w:right w:val="single" w:sz="6" w:space="0" w:color="auto"/>
            </w:tcBorders>
            <w:vAlign w:val="center"/>
            <w:hideMark/>
          </w:tcPr>
          <w:p w14:paraId="0994075A" w14:textId="720707F5" w:rsidR="005A557B" w:rsidRPr="005A557B" w:rsidRDefault="005527B5" w:rsidP="005A557B">
            <w:r>
              <w:rPr>
                <w:rFonts w:hint="eastAsia"/>
              </w:rPr>
              <w:t>２</w:t>
            </w:r>
            <w:r w:rsidR="005A557B" w:rsidRPr="005A557B">
              <w:t>台</w:t>
            </w:r>
          </w:p>
        </w:tc>
        <w:tc>
          <w:tcPr>
            <w:tcW w:w="805" w:type="dxa"/>
            <w:tcBorders>
              <w:top w:val="single" w:sz="6" w:space="0" w:color="auto"/>
              <w:left w:val="single" w:sz="6" w:space="0" w:color="auto"/>
              <w:bottom w:val="single" w:sz="6" w:space="0" w:color="auto"/>
              <w:right w:val="single" w:sz="6" w:space="0" w:color="auto"/>
            </w:tcBorders>
            <w:vAlign w:val="center"/>
            <w:hideMark/>
          </w:tcPr>
          <w:p w14:paraId="0EEAC644" w14:textId="77777777" w:rsidR="005A557B" w:rsidRPr="005A557B" w:rsidRDefault="005A557B" w:rsidP="005A557B"/>
        </w:tc>
      </w:tr>
      <w:tr w:rsidR="005A557B" w:rsidRPr="005A557B" w14:paraId="4EAE2667" w14:textId="77777777" w:rsidTr="005A557B">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14:paraId="405FA178" w14:textId="76030A37" w:rsidR="005A557B" w:rsidRPr="005A557B" w:rsidRDefault="005527B5" w:rsidP="005A557B">
            <w:r>
              <w:rPr>
                <w:rFonts w:hint="eastAsia"/>
              </w:rPr>
              <w:t>１０</w:t>
            </w:r>
            <w:r w:rsidR="005A557B" w:rsidRPr="005A557B">
              <w:t>t</w:t>
            </w:r>
            <w:r>
              <w:rPr>
                <w:rFonts w:hint="eastAsia"/>
              </w:rPr>
              <w:t>ダンプ</w:t>
            </w:r>
            <w:r w:rsidR="005A557B" w:rsidRPr="005A557B">
              <w:t>車</w:t>
            </w:r>
          </w:p>
        </w:tc>
        <w:tc>
          <w:tcPr>
            <w:tcW w:w="1104" w:type="dxa"/>
            <w:tcBorders>
              <w:top w:val="single" w:sz="6" w:space="0" w:color="auto"/>
              <w:left w:val="single" w:sz="6" w:space="0" w:color="auto"/>
              <w:bottom w:val="single" w:sz="6" w:space="0" w:color="auto"/>
              <w:right w:val="single" w:sz="6" w:space="0" w:color="auto"/>
            </w:tcBorders>
            <w:vAlign w:val="center"/>
            <w:hideMark/>
          </w:tcPr>
          <w:p w14:paraId="2FC2543B" w14:textId="77777777" w:rsidR="005A557B" w:rsidRPr="005A557B" w:rsidRDefault="005A557B" w:rsidP="005A557B">
            <w:r w:rsidRPr="005A557B">
              <w:t>1</w:t>
            </w:r>
            <w:r w:rsidRPr="005A557B">
              <w:t>台</w:t>
            </w:r>
          </w:p>
        </w:tc>
        <w:tc>
          <w:tcPr>
            <w:tcW w:w="805" w:type="dxa"/>
            <w:tcBorders>
              <w:top w:val="single" w:sz="6" w:space="0" w:color="auto"/>
              <w:left w:val="single" w:sz="6" w:space="0" w:color="auto"/>
              <w:bottom w:val="single" w:sz="6" w:space="0" w:color="auto"/>
              <w:right w:val="single" w:sz="6" w:space="0" w:color="auto"/>
            </w:tcBorders>
            <w:vAlign w:val="center"/>
            <w:hideMark/>
          </w:tcPr>
          <w:p w14:paraId="4D263AE4" w14:textId="77777777" w:rsidR="005A557B" w:rsidRPr="005A557B" w:rsidRDefault="005A557B" w:rsidP="005A557B"/>
        </w:tc>
      </w:tr>
      <w:tr w:rsidR="005A557B" w:rsidRPr="005A557B" w14:paraId="444967AA" w14:textId="77777777" w:rsidTr="005A557B">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14:paraId="5998752C" w14:textId="77777777" w:rsidR="005A557B" w:rsidRPr="005A557B" w:rsidRDefault="005A557B" w:rsidP="005A557B"/>
        </w:tc>
        <w:tc>
          <w:tcPr>
            <w:tcW w:w="1104" w:type="dxa"/>
            <w:tcBorders>
              <w:top w:val="single" w:sz="6" w:space="0" w:color="auto"/>
              <w:left w:val="single" w:sz="6" w:space="0" w:color="auto"/>
              <w:bottom w:val="single" w:sz="6" w:space="0" w:color="auto"/>
              <w:right w:val="single" w:sz="6" w:space="0" w:color="auto"/>
            </w:tcBorders>
            <w:vAlign w:val="center"/>
            <w:hideMark/>
          </w:tcPr>
          <w:p w14:paraId="48D40F85" w14:textId="26765950" w:rsidR="005A557B" w:rsidRPr="005A557B" w:rsidRDefault="005527B5" w:rsidP="005A557B">
            <w:r>
              <w:rPr>
                <w:rFonts w:hint="eastAsia"/>
                <w:b/>
                <w:bCs/>
              </w:rPr>
              <w:t>４</w:t>
            </w:r>
            <w:r w:rsidR="005A557B" w:rsidRPr="005A557B">
              <w:rPr>
                <w:b/>
                <w:bCs/>
              </w:rPr>
              <w:t>台</w:t>
            </w:r>
          </w:p>
        </w:tc>
        <w:tc>
          <w:tcPr>
            <w:tcW w:w="805" w:type="dxa"/>
            <w:tcBorders>
              <w:top w:val="single" w:sz="6" w:space="0" w:color="auto"/>
              <w:left w:val="single" w:sz="6" w:space="0" w:color="auto"/>
              <w:bottom w:val="single" w:sz="6" w:space="0" w:color="auto"/>
              <w:right w:val="single" w:sz="6" w:space="0" w:color="auto"/>
            </w:tcBorders>
            <w:vAlign w:val="center"/>
            <w:hideMark/>
          </w:tcPr>
          <w:p w14:paraId="0A6448CC" w14:textId="77777777" w:rsidR="005A557B" w:rsidRPr="005A557B" w:rsidRDefault="005A557B" w:rsidP="005A557B"/>
        </w:tc>
      </w:tr>
    </w:tbl>
    <w:p w14:paraId="51FF91C9" w14:textId="3267B88C" w:rsidR="005A557B" w:rsidRDefault="005A557B" w:rsidP="005A557B">
      <w:pPr>
        <w:rPr>
          <w:b/>
          <w:bCs/>
        </w:rPr>
      </w:pPr>
      <w:r w:rsidRPr="005A557B">
        <w:rPr>
          <w:rFonts w:ascii="ＭＳ 明朝" w:eastAsia="ＭＳ 明朝" w:hAnsi="ＭＳ 明朝" w:cs="ＭＳ 明朝" w:hint="eastAsia"/>
        </w:rPr>
        <w:t>※</w:t>
      </w:r>
      <w:r w:rsidRPr="005A557B">
        <w:t>各車両の登録番号（ナンバー）等の詳細については、</w:t>
      </w:r>
      <w:r w:rsidR="0053118E">
        <w:rPr>
          <w:rFonts w:hint="eastAsia"/>
        </w:rPr>
        <w:t>受注者に</w:t>
      </w:r>
      <w:r w:rsidR="004E4840">
        <w:rPr>
          <w:rFonts w:hint="eastAsia"/>
        </w:rPr>
        <w:t>対し</w:t>
      </w:r>
      <w:r w:rsidR="0053118E">
        <w:rPr>
          <w:rFonts w:hint="eastAsia"/>
        </w:rPr>
        <w:t>て</w:t>
      </w:r>
      <w:r w:rsidRPr="005A557B">
        <w:t>京都市より提示するものとする。</w:t>
      </w:r>
    </w:p>
    <w:p w14:paraId="1AD0E944" w14:textId="77777777" w:rsidR="005A557B" w:rsidRDefault="005A557B" w:rsidP="005A557B">
      <w:pPr>
        <w:rPr>
          <w:b/>
          <w:bCs/>
        </w:rPr>
      </w:pPr>
    </w:p>
    <w:p w14:paraId="7B8F4FC3" w14:textId="5488AFE6" w:rsidR="005A557B" w:rsidRPr="005A557B" w:rsidRDefault="005A557B" w:rsidP="005A557B">
      <w:r w:rsidRPr="005A557B">
        <w:rPr>
          <w:b/>
          <w:bCs/>
        </w:rPr>
        <w:t xml:space="preserve">5. </w:t>
      </w:r>
      <w:r w:rsidRPr="005A557B">
        <w:rPr>
          <w:b/>
          <w:bCs/>
        </w:rPr>
        <w:t>指定物品（型番指定）</w:t>
      </w:r>
    </w:p>
    <w:p w14:paraId="43F3F7A8" w14:textId="77777777" w:rsidR="005A557B" w:rsidRPr="005A557B" w:rsidRDefault="005A557B" w:rsidP="005A557B">
      <w:r w:rsidRPr="005A557B">
        <w:t>本業務において取り付ける物品は、以下のメーカー・型番の純正品または指定品とする。</w:t>
      </w:r>
    </w:p>
    <w:p w14:paraId="0170BFC7" w14:textId="77777777" w:rsidR="005A557B" w:rsidRPr="005A557B" w:rsidRDefault="005A557B" w:rsidP="005A557B">
      <w:r w:rsidRPr="005A557B">
        <w:t>・モニター：クラリオン製</w:t>
      </w:r>
      <w:r w:rsidRPr="005A557B">
        <w:t xml:space="preserve"> CJ-7800A</w:t>
      </w:r>
      <w:r w:rsidRPr="005A557B">
        <w:t>（</w:t>
      </w:r>
      <w:r w:rsidRPr="005A557B">
        <w:t>12V/24V</w:t>
      </w:r>
      <w:r w:rsidRPr="005A557B">
        <w:t>共用</w:t>
      </w:r>
      <w:r w:rsidRPr="005A557B">
        <w:t xml:space="preserve"> 7</w:t>
      </w:r>
      <w:r w:rsidRPr="005A557B">
        <w:t>型ワイド</w:t>
      </w:r>
      <w:r w:rsidRPr="005A557B">
        <w:t>LCD</w:t>
      </w:r>
      <w:r w:rsidRPr="005A557B">
        <w:t>モニター）</w:t>
      </w:r>
    </w:p>
    <w:p w14:paraId="5D79DD4E" w14:textId="77777777" w:rsidR="005A557B" w:rsidRPr="005A557B" w:rsidRDefault="005A557B" w:rsidP="005A557B">
      <w:r w:rsidRPr="005A557B">
        <w:t>・カメラ：クラリオン製</w:t>
      </w:r>
      <w:r w:rsidRPr="005A557B">
        <w:t xml:space="preserve"> CC-7202A</w:t>
      </w:r>
      <w:r w:rsidRPr="005A557B">
        <w:t>（超広角小型バックカメラ／シャッターなし）</w:t>
      </w:r>
    </w:p>
    <w:p w14:paraId="272BD307" w14:textId="77777777" w:rsidR="005A557B" w:rsidRPr="005A557B" w:rsidRDefault="005A557B" w:rsidP="005A557B">
      <w:r w:rsidRPr="005A557B">
        <w:rPr>
          <w:rFonts w:ascii="ＭＳ 明朝" w:eastAsia="ＭＳ 明朝" w:hAnsi="ＭＳ 明朝" w:cs="ＭＳ 明朝" w:hint="eastAsia"/>
        </w:rPr>
        <w:t>※</w:t>
      </w:r>
      <w:r w:rsidRPr="005A557B">
        <w:t>上記接続に必要な専用ケーブル、ステー、変換アダプタ等一式を含む。</w:t>
      </w:r>
    </w:p>
    <w:p w14:paraId="574B82BE" w14:textId="77777777" w:rsidR="005A557B" w:rsidRPr="005A557B" w:rsidRDefault="005A557B" w:rsidP="005A557B">
      <w:r w:rsidRPr="005A557B">
        <w:rPr>
          <w:b/>
          <w:bCs/>
        </w:rPr>
        <w:t xml:space="preserve">6. </w:t>
      </w:r>
      <w:r w:rsidRPr="005A557B">
        <w:rPr>
          <w:b/>
          <w:bCs/>
        </w:rPr>
        <w:t>施工条件・業者要件</w:t>
      </w:r>
    </w:p>
    <w:p w14:paraId="06E38CA4" w14:textId="77777777" w:rsidR="005A557B" w:rsidRPr="005A557B" w:rsidRDefault="005A557B" w:rsidP="005A557B">
      <w:r w:rsidRPr="005A557B">
        <w:t>本業務の特性上、受注者は以下の条件をすべて満たすこと。</w:t>
      </w:r>
    </w:p>
    <w:p w14:paraId="62972C58" w14:textId="77777777" w:rsidR="005A557B" w:rsidRPr="005A557B" w:rsidRDefault="005A557B" w:rsidP="005A557B">
      <w:r w:rsidRPr="005A557B">
        <w:t xml:space="preserve">(1) </w:t>
      </w:r>
      <w:r w:rsidRPr="005A557B">
        <w:t>物品調達能力：指定されたクラリオン製機器をメーカー等から直接仕入れ、速やかに提供できること。</w:t>
      </w:r>
    </w:p>
    <w:p w14:paraId="5C8D11B8" w14:textId="77777777" w:rsidR="005A557B" w:rsidRPr="005A557B" w:rsidRDefault="005A557B" w:rsidP="005A557B">
      <w:r w:rsidRPr="005A557B">
        <w:t xml:space="preserve">(2) </w:t>
      </w:r>
      <w:r w:rsidRPr="005A557B">
        <w:t>自社施工体制：取付工事を再委託（丸投げ）することなく、受注者の責任において直接施工・管理できる体制を有すること。なお、取り付けは原則として受注者の事業所等において行うものとする。</w:t>
      </w:r>
    </w:p>
    <w:p w14:paraId="2AEDB34F" w14:textId="1852DFDE" w:rsidR="005A557B" w:rsidRPr="005A557B" w:rsidRDefault="005A557B" w:rsidP="005A557B">
      <w:r w:rsidRPr="005A557B">
        <w:t xml:space="preserve">(3) </w:t>
      </w:r>
      <w:r w:rsidRPr="005A557B">
        <w:t>施工実績：特装車（ダンプ車等）または同規模の車両への電装品取付実績を有すること。</w:t>
      </w:r>
    </w:p>
    <w:p w14:paraId="7C04B403" w14:textId="77777777" w:rsidR="005A557B" w:rsidRPr="005A557B" w:rsidRDefault="005A557B" w:rsidP="005A557B">
      <w:r w:rsidRPr="005A557B">
        <w:rPr>
          <w:b/>
          <w:bCs/>
        </w:rPr>
        <w:t xml:space="preserve">7. </w:t>
      </w:r>
      <w:r w:rsidRPr="005A557B">
        <w:rPr>
          <w:b/>
          <w:bCs/>
        </w:rPr>
        <w:t>取付仕様</w:t>
      </w:r>
    </w:p>
    <w:p w14:paraId="5B7AE0E2" w14:textId="77777777" w:rsidR="005A557B" w:rsidRPr="005A557B" w:rsidRDefault="005A557B" w:rsidP="005A557B">
      <w:r w:rsidRPr="005A557B">
        <w:t xml:space="preserve">(1) </w:t>
      </w:r>
      <w:r w:rsidRPr="005A557B">
        <w:t>取付位置：モニターは運転者の視認性が良く、かつ前方視界を妨げない位置に固定すること。カメラは車両後方の中央部付近、または死角を最小限に抑えられる最適な位置に堅牢に取り付けること。</w:t>
      </w:r>
    </w:p>
    <w:p w14:paraId="14121971" w14:textId="3E62F7E7" w:rsidR="005A557B" w:rsidRPr="005A557B" w:rsidRDefault="005A557B" w:rsidP="005A557B">
      <w:r w:rsidRPr="005A557B">
        <w:lastRenderedPageBreak/>
        <w:t xml:space="preserve">(2) </w:t>
      </w:r>
      <w:r w:rsidRPr="005A557B">
        <w:t>配線：特装車両の可動部（ダンプの荷台昇降）に干渉しないよう、配線の取り回しに十分に留意すること。</w:t>
      </w:r>
    </w:p>
    <w:p w14:paraId="1566C7A4" w14:textId="77777777" w:rsidR="005A557B" w:rsidRPr="005A557B" w:rsidRDefault="005A557B" w:rsidP="005A557B">
      <w:r w:rsidRPr="005A557B">
        <w:t xml:space="preserve">(3) </w:t>
      </w:r>
      <w:r w:rsidRPr="005A557B">
        <w:t>防水：外部配線の引き込みに際しては、適切な防水処理を施すこと。</w:t>
      </w:r>
    </w:p>
    <w:p w14:paraId="23058BE9" w14:textId="77777777" w:rsidR="005A557B" w:rsidRPr="005A557B" w:rsidRDefault="005A557B" w:rsidP="005A557B">
      <w:r w:rsidRPr="005A557B">
        <w:t xml:space="preserve">(4) </w:t>
      </w:r>
      <w:r w:rsidRPr="005A557B">
        <w:t>作動確認：設置完了後、実走行（後退動作）にて映像の乱れやノイズがないことを確認すること。</w:t>
      </w:r>
    </w:p>
    <w:p w14:paraId="26D53F5D" w14:textId="77777777" w:rsidR="005A557B" w:rsidRPr="005A557B" w:rsidRDefault="005A557B" w:rsidP="005A557B">
      <w:r w:rsidRPr="005A557B">
        <w:rPr>
          <w:b/>
          <w:bCs/>
        </w:rPr>
        <w:t xml:space="preserve">8. </w:t>
      </w:r>
      <w:r w:rsidRPr="005A557B">
        <w:rPr>
          <w:b/>
          <w:bCs/>
        </w:rPr>
        <w:t>提出書類</w:t>
      </w:r>
    </w:p>
    <w:p w14:paraId="5DECA4D5" w14:textId="77777777" w:rsidR="005A557B" w:rsidRPr="005A557B" w:rsidRDefault="005A557B" w:rsidP="005A557B">
      <w:r w:rsidRPr="005A557B">
        <w:t xml:space="preserve">(1) </w:t>
      </w:r>
      <w:r w:rsidRPr="005A557B">
        <w:t>着手前写真：取付前の車両状態</w:t>
      </w:r>
    </w:p>
    <w:p w14:paraId="5A7C553F" w14:textId="77777777" w:rsidR="005A557B" w:rsidRPr="005A557B" w:rsidRDefault="005A557B" w:rsidP="005A557B">
      <w:r w:rsidRPr="005A557B">
        <w:t xml:space="preserve">(2) </w:t>
      </w:r>
      <w:r w:rsidRPr="005A557B">
        <w:t>施工中写真：配線状況、防水処理等の状況がわかるもの</w:t>
      </w:r>
    </w:p>
    <w:p w14:paraId="6EDF31DE" w14:textId="77777777" w:rsidR="005A557B" w:rsidRPr="005A557B" w:rsidRDefault="005A557B" w:rsidP="005A557B">
      <w:r w:rsidRPr="005A557B">
        <w:t xml:space="preserve">(3) </w:t>
      </w:r>
      <w:r w:rsidRPr="005A557B">
        <w:t>完了後写真：モニター設置状況、カメラ取付位置、実際の映り込み画面</w:t>
      </w:r>
    </w:p>
    <w:p w14:paraId="038905A4" w14:textId="77777777" w:rsidR="005A557B" w:rsidRPr="005A557B" w:rsidRDefault="005A557B" w:rsidP="005A557B">
      <w:r w:rsidRPr="005A557B">
        <w:t xml:space="preserve">(4) </w:t>
      </w:r>
      <w:r w:rsidRPr="005A557B">
        <w:t>納品書・保証書：メーカー保証書を車両ごとに整理して提出すること。</w:t>
      </w:r>
    </w:p>
    <w:p w14:paraId="3AAA1EF3" w14:textId="77777777" w:rsidR="005A557B" w:rsidRPr="005A557B" w:rsidRDefault="005A557B" w:rsidP="005A557B">
      <w:r w:rsidRPr="005A557B">
        <w:rPr>
          <w:b/>
          <w:bCs/>
        </w:rPr>
        <w:t xml:space="preserve">9. </w:t>
      </w:r>
      <w:r w:rsidRPr="005A557B">
        <w:rPr>
          <w:b/>
          <w:bCs/>
        </w:rPr>
        <w:t>その他</w:t>
      </w:r>
    </w:p>
    <w:p w14:paraId="4CFEEC4E" w14:textId="77777777" w:rsidR="0088686B" w:rsidRDefault="0088686B" w:rsidP="0088686B">
      <w:pPr>
        <w:rPr>
          <w:rFonts w:hint="eastAsia"/>
        </w:rPr>
      </w:pPr>
      <w:r>
        <w:rPr>
          <w:rFonts w:hint="eastAsia"/>
        </w:rPr>
        <w:t xml:space="preserve">(1) </w:t>
      </w:r>
      <w:r>
        <w:rPr>
          <w:rFonts w:hint="eastAsia"/>
        </w:rPr>
        <w:t>場所・日程の決定：取り付け場所および日程については、京都市と協議の上、決定するものとする。</w:t>
      </w:r>
    </w:p>
    <w:p w14:paraId="6ABC589B" w14:textId="77777777" w:rsidR="0088686B" w:rsidRDefault="0088686B" w:rsidP="0088686B">
      <w:pPr>
        <w:rPr>
          <w:rFonts w:hint="eastAsia"/>
        </w:rPr>
      </w:pPr>
      <w:r>
        <w:rPr>
          <w:rFonts w:hint="eastAsia"/>
        </w:rPr>
        <w:t xml:space="preserve">(2) </w:t>
      </w:r>
      <w:r>
        <w:rPr>
          <w:rFonts w:hint="eastAsia"/>
        </w:rPr>
        <w:t>車両の搬入：受注者への車両の持ち込みは、京都市が行うものとする。</w:t>
      </w:r>
    </w:p>
    <w:p w14:paraId="56A01E34" w14:textId="77777777" w:rsidR="0088686B" w:rsidRDefault="0088686B" w:rsidP="0088686B">
      <w:pPr>
        <w:rPr>
          <w:rFonts w:hint="eastAsia"/>
        </w:rPr>
      </w:pPr>
      <w:r>
        <w:rPr>
          <w:rFonts w:hint="eastAsia"/>
        </w:rPr>
        <w:t xml:space="preserve">(3) </w:t>
      </w:r>
      <w:r>
        <w:rPr>
          <w:rFonts w:hint="eastAsia"/>
        </w:rPr>
        <w:t>原状復旧：作業中に車両に損傷を与えた場合は、受注者の責任において速やかに原状復旧を行うこと。</w:t>
      </w:r>
    </w:p>
    <w:p w14:paraId="182D56A9" w14:textId="1A32BDD9" w:rsidR="00D72C03" w:rsidRPr="0088686B" w:rsidRDefault="00D72C03" w:rsidP="005A557B"/>
    <w:p w14:paraId="6F36BAAD" w14:textId="77777777" w:rsidR="00F85D8C" w:rsidRDefault="00F85D8C" w:rsidP="005A557B"/>
    <w:p w14:paraId="3DF00FF3" w14:textId="77777777" w:rsidR="00F85D8C" w:rsidRDefault="00F85D8C" w:rsidP="005A557B"/>
    <w:p w14:paraId="5B895574" w14:textId="77777777" w:rsidR="00F85D8C" w:rsidRDefault="00F85D8C" w:rsidP="005A557B"/>
    <w:p w14:paraId="2313D1DC" w14:textId="77777777" w:rsidR="00F85D8C" w:rsidRDefault="00F85D8C" w:rsidP="005A557B"/>
    <w:p w14:paraId="625234C7" w14:textId="77777777" w:rsidR="00F85D8C" w:rsidRDefault="00F85D8C" w:rsidP="005A557B"/>
    <w:p w14:paraId="0119F6B9" w14:textId="77777777" w:rsidR="00F85D8C" w:rsidRDefault="00F85D8C" w:rsidP="005A557B"/>
    <w:p w14:paraId="08ED23A0" w14:textId="77777777" w:rsidR="00F85D8C" w:rsidRDefault="00F85D8C" w:rsidP="005A557B"/>
    <w:p w14:paraId="1A6E8228" w14:textId="77777777" w:rsidR="00F85D8C" w:rsidRDefault="00F85D8C" w:rsidP="005A557B"/>
    <w:p w14:paraId="0C74D53B" w14:textId="77777777" w:rsidR="00F85D8C" w:rsidRDefault="00F85D8C" w:rsidP="005A557B"/>
    <w:p w14:paraId="16B4EFC1" w14:textId="77777777" w:rsidR="00F85D8C" w:rsidRDefault="00F85D8C" w:rsidP="005A557B"/>
    <w:p w14:paraId="60255F1D" w14:textId="77777777" w:rsidR="00F85D8C" w:rsidRDefault="00F85D8C" w:rsidP="005A557B"/>
    <w:p w14:paraId="740A2C7E" w14:textId="77777777" w:rsidR="00F85D8C" w:rsidRDefault="00F85D8C" w:rsidP="005A557B"/>
    <w:p w14:paraId="2097B4BF" w14:textId="77777777" w:rsidR="00F85D8C" w:rsidRDefault="00F85D8C" w:rsidP="005A557B"/>
    <w:p w14:paraId="0099143A" w14:textId="77777777" w:rsidR="00F85D8C" w:rsidRDefault="00F85D8C" w:rsidP="005A557B"/>
    <w:p w14:paraId="047AAE25" w14:textId="77777777" w:rsidR="00F85D8C" w:rsidRDefault="00F85D8C" w:rsidP="005A557B"/>
    <w:p w14:paraId="0C421A57" w14:textId="77777777" w:rsidR="00F85D8C" w:rsidRDefault="00F85D8C" w:rsidP="005A557B"/>
    <w:p w14:paraId="17879634" w14:textId="77777777" w:rsidR="00F85D8C" w:rsidRDefault="00F85D8C" w:rsidP="005A557B"/>
    <w:p w14:paraId="2B5575C4" w14:textId="77777777" w:rsidR="00F85D8C" w:rsidRPr="005A557B" w:rsidRDefault="00F85D8C" w:rsidP="005A557B"/>
    <w:sectPr w:rsidR="00F85D8C" w:rsidRPr="005A557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3467C" w14:textId="77777777" w:rsidR="00025EC3" w:rsidRDefault="00025EC3" w:rsidP="00973C13">
      <w:r>
        <w:separator/>
      </w:r>
    </w:p>
  </w:endnote>
  <w:endnote w:type="continuationSeparator" w:id="0">
    <w:p w14:paraId="33038C48" w14:textId="77777777" w:rsidR="00025EC3" w:rsidRDefault="00025EC3"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2519C" w14:textId="77777777" w:rsidR="00025EC3" w:rsidRDefault="00025EC3" w:rsidP="00973C13">
      <w:r>
        <w:separator/>
      </w:r>
    </w:p>
  </w:footnote>
  <w:footnote w:type="continuationSeparator" w:id="0">
    <w:p w14:paraId="35F89461" w14:textId="77777777" w:rsidR="00025EC3" w:rsidRDefault="00025EC3"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C3"/>
    <w:rsid w:val="00025EC3"/>
    <w:rsid w:val="000E4A50"/>
    <w:rsid w:val="002D7F0E"/>
    <w:rsid w:val="004E4840"/>
    <w:rsid w:val="0053118E"/>
    <w:rsid w:val="005527B5"/>
    <w:rsid w:val="00555EC2"/>
    <w:rsid w:val="005A557B"/>
    <w:rsid w:val="005E045C"/>
    <w:rsid w:val="006F3864"/>
    <w:rsid w:val="00730AB3"/>
    <w:rsid w:val="00776FEA"/>
    <w:rsid w:val="007F1299"/>
    <w:rsid w:val="0088686B"/>
    <w:rsid w:val="00890640"/>
    <w:rsid w:val="008D3B61"/>
    <w:rsid w:val="00973C13"/>
    <w:rsid w:val="00992B92"/>
    <w:rsid w:val="009B2953"/>
    <w:rsid w:val="009E4A04"/>
    <w:rsid w:val="00A7680E"/>
    <w:rsid w:val="00AB1D38"/>
    <w:rsid w:val="00D72C03"/>
    <w:rsid w:val="00EB7B00"/>
    <w:rsid w:val="00F85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D25258"/>
  <w15:chartTrackingRefBased/>
  <w15:docId w15:val="{C9CF85E1-A3E7-43DE-96D5-E0A223BA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27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dcterms:created xsi:type="dcterms:W3CDTF">2026-06-19T06:45:00Z</dcterms:created>
  <dcterms:modified xsi:type="dcterms:W3CDTF">2026-06-19T06:47:00Z</dcterms:modified>
</cp:coreProperties>
</file>